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D8" w:rsidRPr="000B4816" w:rsidRDefault="009E67D8" w:rsidP="009E67D8">
      <w:pPr>
        <w:pStyle w:val="Listaszerbekezds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0B4816">
        <w:rPr>
          <w:rFonts w:ascii="Palatino Linotype" w:hAnsi="Palatino Linotype"/>
          <w:b/>
          <w:sz w:val="20"/>
          <w:szCs w:val="20"/>
        </w:rPr>
        <w:t>Tájékoztató a „Nyári diákmunka 201</w:t>
      </w:r>
      <w:r>
        <w:rPr>
          <w:rFonts w:ascii="Palatino Linotype" w:hAnsi="Palatino Linotype"/>
          <w:b/>
          <w:sz w:val="20"/>
          <w:szCs w:val="20"/>
        </w:rPr>
        <w:t>9</w:t>
      </w:r>
      <w:r w:rsidRPr="000B4816">
        <w:rPr>
          <w:rFonts w:ascii="Palatino Linotype" w:hAnsi="Palatino Linotype"/>
          <w:b/>
          <w:sz w:val="20"/>
          <w:szCs w:val="20"/>
        </w:rPr>
        <w:t xml:space="preserve">.” </w:t>
      </w:r>
    </w:p>
    <w:p w:rsidR="009E67D8" w:rsidRPr="000B4816" w:rsidRDefault="009E67D8" w:rsidP="009E67D8">
      <w:pPr>
        <w:pStyle w:val="Listaszerbekezds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0B4816">
        <w:rPr>
          <w:rFonts w:ascii="Palatino Linotype" w:hAnsi="Palatino Linotype"/>
          <w:b/>
          <w:sz w:val="20"/>
          <w:szCs w:val="20"/>
        </w:rPr>
        <w:t>központi munkaerőpiaci program indításáról</w:t>
      </w:r>
    </w:p>
    <w:p w:rsidR="009E67D8" w:rsidRPr="000B4816" w:rsidRDefault="009E67D8" w:rsidP="009E67D8">
      <w:pPr>
        <w:pStyle w:val="Listaszerbekezds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:rsidR="009E67D8" w:rsidRPr="001C00B0" w:rsidRDefault="009E67D8" w:rsidP="007A1D32">
      <w:pPr>
        <w:pStyle w:val="asous-titre201p10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eastAsia="Calibri" w:hAnsi="Palatino Linotype"/>
          <w:sz w:val="20"/>
          <w:szCs w:val="20"/>
          <w:lang w:eastAsia="en-US"/>
        </w:rPr>
        <w:t>A fiatalkori inaktivitás csökkentésére, a korai munkatapasztalat és munkajövedelem szerzés elősegítésére a 2013-2018-as években indított „Nyári diákmunka” program tapasztalatait felhasználva a 2019. évben ismét meghirdetésre kerül a program.</w:t>
      </w:r>
      <w:r w:rsidR="007A1D32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1C00B0">
        <w:rPr>
          <w:rFonts w:ascii="Palatino Linotype" w:hAnsi="Palatino Linotype"/>
          <w:b/>
          <w:sz w:val="20"/>
          <w:szCs w:val="20"/>
        </w:rPr>
        <w:t>Hosszú távú cél, hogy a diákok a későbbiek folyamán a versenyszférában helyezkedjenek el és ehhez hozzájárul a program keretében történő munkatapasztalat-szerzés</w:t>
      </w:r>
      <w:r w:rsidRPr="001C00B0">
        <w:rPr>
          <w:rFonts w:ascii="Palatino Linotype" w:hAnsi="Palatino Linotype"/>
          <w:sz w:val="20"/>
          <w:szCs w:val="20"/>
        </w:rPr>
        <w:t>. 2018. évben a programot kiterjesztett</w:t>
      </w:r>
      <w:r w:rsidR="007A1D32">
        <w:rPr>
          <w:rFonts w:ascii="Palatino Linotype" w:hAnsi="Palatino Linotype"/>
          <w:sz w:val="20"/>
          <w:szCs w:val="20"/>
        </w:rPr>
        <w:t>é</w:t>
      </w:r>
      <w:r w:rsidRPr="001C00B0">
        <w:rPr>
          <w:rFonts w:ascii="Palatino Linotype" w:hAnsi="Palatino Linotype"/>
          <w:sz w:val="20"/>
          <w:szCs w:val="20"/>
        </w:rPr>
        <w:t xml:space="preserve">k, így az ágazati munkaerőhiány kezelése érdekében </w:t>
      </w:r>
      <w:r w:rsidRPr="001C00B0">
        <w:rPr>
          <w:rFonts w:ascii="Palatino Linotype" w:hAnsi="Palatino Linotype"/>
          <w:b/>
          <w:sz w:val="20"/>
          <w:szCs w:val="20"/>
        </w:rPr>
        <w:t>a mezőgazdaság és a vendéglátás területén is lehetőséget biztosít</w:t>
      </w:r>
      <w:r w:rsidR="007A1D32">
        <w:rPr>
          <w:rFonts w:ascii="Palatino Linotype" w:hAnsi="Palatino Linotype"/>
          <w:b/>
          <w:sz w:val="20"/>
          <w:szCs w:val="20"/>
        </w:rPr>
        <w:t>anak</w:t>
      </w:r>
      <w:r w:rsidRPr="001C00B0">
        <w:rPr>
          <w:rFonts w:ascii="Palatino Linotype" w:hAnsi="Palatino Linotype"/>
          <w:b/>
          <w:sz w:val="20"/>
          <w:szCs w:val="20"/>
        </w:rPr>
        <w:t xml:space="preserve"> a program keretében diákok foglalkoztatására</w:t>
      </w:r>
      <w:r w:rsidRPr="001C00B0">
        <w:rPr>
          <w:rFonts w:ascii="Palatino Linotype" w:hAnsi="Palatino Linotype"/>
          <w:sz w:val="20"/>
          <w:szCs w:val="20"/>
        </w:rPr>
        <w:t xml:space="preserve">. Idén a </w:t>
      </w:r>
      <w:r w:rsidRPr="001C00B0">
        <w:rPr>
          <w:rFonts w:ascii="Palatino Linotype" w:hAnsi="Palatino Linotype"/>
          <w:b/>
          <w:sz w:val="20"/>
          <w:szCs w:val="20"/>
        </w:rPr>
        <w:t>turizmus területével bővítjük</w:t>
      </w:r>
      <w:r w:rsidRPr="001C00B0">
        <w:rPr>
          <w:rFonts w:ascii="Palatino Linotype" w:hAnsi="Palatino Linotype"/>
          <w:sz w:val="20"/>
          <w:szCs w:val="20"/>
        </w:rPr>
        <w:t xml:space="preserve"> a foglalkoztatási lehetőségek körét.</w:t>
      </w:r>
    </w:p>
    <w:p w:rsidR="009E67D8" w:rsidRPr="001C00B0" w:rsidRDefault="009E67D8" w:rsidP="009E67D8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A program célcsoportjába azok a fiatalok tartoznak, akik:</w:t>
      </w:r>
    </w:p>
    <w:p w:rsidR="009E67D8" w:rsidRPr="001C00B0" w:rsidRDefault="009E67D8" w:rsidP="009E67D8">
      <w:pPr>
        <w:pStyle w:val="Listaszerbekezds"/>
        <w:numPr>
          <w:ilvl w:val="0"/>
          <w:numId w:val="2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16 – 25 év közötti nappali tagozaton tanuló diákok,</w:t>
      </w:r>
    </w:p>
    <w:p w:rsidR="009E67D8" w:rsidRPr="001C00B0" w:rsidRDefault="009E67D8" w:rsidP="009E67D8">
      <w:pPr>
        <w:pStyle w:val="Listaszerbekezds"/>
        <w:numPr>
          <w:ilvl w:val="0"/>
          <w:numId w:val="2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közvetítést kérőként kérték nyilvántartásba vételüket és</w:t>
      </w:r>
    </w:p>
    <w:p w:rsidR="009E67D8" w:rsidRPr="001C00B0" w:rsidRDefault="009E67D8" w:rsidP="009E67D8">
      <w:pPr>
        <w:pStyle w:val="Listaszerbekezds"/>
        <w:numPr>
          <w:ilvl w:val="0"/>
          <w:numId w:val="2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foglalkoztatásra irányuló, vagy vállalkozási jogviszonnyal nem rendelkeznek.</w:t>
      </w:r>
    </w:p>
    <w:p w:rsidR="009E67D8" w:rsidRPr="001C00B0" w:rsidRDefault="009E67D8" w:rsidP="009E67D8">
      <w:pPr>
        <w:jc w:val="both"/>
        <w:rPr>
          <w:rFonts w:ascii="Palatino Linotype" w:hAnsi="Palatino Linotype"/>
          <w:sz w:val="20"/>
          <w:szCs w:val="20"/>
        </w:rPr>
      </w:pPr>
    </w:p>
    <w:p w:rsidR="009E67D8" w:rsidRPr="001C00B0" w:rsidRDefault="009E67D8" w:rsidP="009E67D8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járási (fővárosi kerületi) hivatal foglalkoztatási osztálya a program keretében a közvetítést kérőként regisztrált diákok számára általános és a helyi sajátosságokra is kitérő </w:t>
      </w:r>
      <w:r w:rsidRPr="001C00B0">
        <w:rPr>
          <w:rFonts w:ascii="Palatino Linotype" w:hAnsi="Palatino Linotype"/>
          <w:b/>
          <w:sz w:val="20"/>
          <w:szCs w:val="20"/>
        </w:rPr>
        <w:t>munkaerőpiaci információt nyújt</w:t>
      </w:r>
      <w:r w:rsidRPr="001C00B0">
        <w:rPr>
          <w:rFonts w:ascii="Palatino Linotype" w:hAnsi="Palatino Linotype"/>
          <w:sz w:val="20"/>
          <w:szCs w:val="20"/>
        </w:rPr>
        <w:t>. Ezt követően a beérkezett munkaerőigények alapján az esélyegyenlőségi szempontok figyelembevételével munkaközvetítést végez a legoptimálisabb elhelyezés érdekében.</w:t>
      </w:r>
      <w:r w:rsidR="007A1D32">
        <w:rPr>
          <w:rFonts w:ascii="Palatino Linotype" w:hAnsi="Palatino Linotype"/>
          <w:sz w:val="20"/>
          <w:szCs w:val="20"/>
        </w:rPr>
        <w:t xml:space="preserve"> </w:t>
      </w:r>
      <w:r w:rsidRPr="001C00B0">
        <w:rPr>
          <w:rFonts w:ascii="Palatino Linotype" w:hAnsi="Palatino Linotype"/>
          <w:sz w:val="20"/>
          <w:szCs w:val="20"/>
        </w:rPr>
        <w:t xml:space="preserve">A programban a diákok csak az Mt. hatálya alá tartozó munkaviszonyban foglalkoztathatóak, ennek megfelelően támogatás is csak munkaviszony keretében történő foglalkoztatáshoz nyújtható. </w:t>
      </w:r>
    </w:p>
    <w:p w:rsidR="007A1D32" w:rsidRDefault="007A1D32" w:rsidP="009E67D8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9E67D8" w:rsidRPr="001C00B0" w:rsidRDefault="009E67D8" w:rsidP="009E67D8">
      <w:pPr>
        <w:jc w:val="both"/>
        <w:rPr>
          <w:rFonts w:ascii="Palatino Linotype" w:hAnsi="Palatino Linotype"/>
          <w:b/>
          <w:sz w:val="20"/>
          <w:szCs w:val="20"/>
        </w:rPr>
      </w:pPr>
      <w:r w:rsidRPr="001C00B0">
        <w:rPr>
          <w:rFonts w:ascii="Palatino Linotype" w:hAnsi="Palatino Linotype"/>
          <w:b/>
          <w:sz w:val="20"/>
          <w:szCs w:val="20"/>
        </w:rPr>
        <w:t>A program két pillérre épül:</w:t>
      </w:r>
    </w:p>
    <w:p w:rsidR="009E67D8" w:rsidRPr="001C00B0" w:rsidRDefault="009E67D8" w:rsidP="009E67D8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b/>
          <w:sz w:val="20"/>
          <w:szCs w:val="20"/>
        </w:rPr>
        <w:t>Önkormányzati diákmunka:</w:t>
      </w:r>
      <w:r w:rsidRPr="001C00B0">
        <w:rPr>
          <w:rFonts w:ascii="Palatino Linotype" w:hAnsi="Palatino Linotype"/>
          <w:sz w:val="20"/>
          <w:szCs w:val="20"/>
        </w:rPr>
        <w:t xml:space="preserve"> A programban a foglalkoztatást biztosító és így támogatható munkáltató a területi, települési önkormányzat és önkormányzati alaptevékenységet végző intézménye, továbbá egyházi jogi személy lehet.</w:t>
      </w:r>
    </w:p>
    <w:p w:rsidR="009E67D8" w:rsidRPr="007A1D32" w:rsidRDefault="009E67D8" w:rsidP="009E67D8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7A1D32">
        <w:rPr>
          <w:rFonts w:ascii="Palatino Linotype" w:hAnsi="Palatino Linotype"/>
          <w:b/>
          <w:sz w:val="20"/>
          <w:szCs w:val="20"/>
        </w:rPr>
        <w:t>Diákmunka a mezőgazdaság, a turizmus és a vendéglátás területén</w:t>
      </w:r>
      <w:r w:rsidRPr="007A1D32">
        <w:rPr>
          <w:rFonts w:ascii="Palatino Linotype" w:hAnsi="Palatino Linotype"/>
          <w:sz w:val="20"/>
          <w:szCs w:val="20"/>
        </w:rPr>
        <w:t>: A felmerülő ágazati munkaerőhiány kezelése érdekében a mezőgazdaság, valamint a turizmus és vendéglátás területén is lehetőség nyílik a program keretében diákok idényjellegű foglalkoztatására.</w:t>
      </w:r>
      <w:r w:rsidR="007A1D32" w:rsidRPr="007A1D32">
        <w:rPr>
          <w:rFonts w:ascii="Palatino Linotype" w:hAnsi="Palatino Linotype"/>
          <w:sz w:val="20"/>
          <w:szCs w:val="20"/>
        </w:rPr>
        <w:t xml:space="preserve"> </w:t>
      </w:r>
      <w:r w:rsidRPr="007A1D32">
        <w:rPr>
          <w:rFonts w:ascii="Palatino Linotype" w:hAnsi="Palatino Linotype"/>
          <w:sz w:val="20"/>
          <w:szCs w:val="20"/>
        </w:rPr>
        <w:t xml:space="preserve">A program keretében a munkaadók számára a célcsoportba tartozó személyek munkaviszonyban történő alkalmazása esetén </w:t>
      </w:r>
      <w:r w:rsidRPr="007A1D32">
        <w:rPr>
          <w:rFonts w:ascii="Palatino Linotype" w:hAnsi="Palatino Linotype"/>
          <w:b/>
          <w:sz w:val="20"/>
          <w:szCs w:val="20"/>
        </w:rPr>
        <w:t>legfeljebb napi 8 órás foglalkoztatás támogatható.</w:t>
      </w:r>
      <w:r w:rsidRPr="007A1D32">
        <w:rPr>
          <w:rFonts w:ascii="Palatino Linotype" w:hAnsi="Palatino Linotype"/>
          <w:sz w:val="20"/>
          <w:szCs w:val="20"/>
        </w:rPr>
        <w:t xml:space="preserve"> A munkabér és a kapcsolódó szociális hozzájárulási adó együttes összegének </w:t>
      </w:r>
      <w:r w:rsidRPr="007A1D32">
        <w:rPr>
          <w:rFonts w:ascii="Palatino Linotype" w:hAnsi="Palatino Linotype"/>
          <w:b/>
          <w:sz w:val="20"/>
          <w:szCs w:val="20"/>
        </w:rPr>
        <w:t>75 %-a kerül megtérítésre</w:t>
      </w:r>
      <w:r w:rsidRPr="007A1D32">
        <w:rPr>
          <w:rFonts w:ascii="Palatino Linotype" w:hAnsi="Palatino Linotype"/>
          <w:sz w:val="20"/>
          <w:szCs w:val="20"/>
        </w:rPr>
        <w:t xml:space="preserve"> legfeljebb 2 hónap időtartamra. A fennmaradó bérköltséget és járulékait a foglalkoztatónak kell viselnie.  A mezőgazdasági, turisztikai és vendéglátási területen történő munkavégzés legfeljebb 8 órában került meghatározásra, ezzel ösztönző hatást kívánunk elérni, továbbá azt, hogy a vállalkozások is vállaljanak részt a költségek viselésében. A különbségtétel abból adódik, hogy munkaerőhiányos területre kívánunk munkaerőt biztosítani. </w:t>
      </w:r>
    </w:p>
    <w:p w:rsidR="009E67D8" w:rsidRPr="001C00B0" w:rsidRDefault="009E67D8" w:rsidP="009E67D8">
      <w:pPr>
        <w:jc w:val="both"/>
        <w:rPr>
          <w:rFonts w:ascii="Palatino Linotype" w:hAnsi="Palatino Linotype"/>
          <w:sz w:val="20"/>
          <w:szCs w:val="20"/>
        </w:rPr>
      </w:pPr>
    </w:p>
    <w:p w:rsidR="009E67D8" w:rsidRPr="004D5FF3" w:rsidRDefault="009E67D8" w:rsidP="009E67D8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5FF3">
        <w:rPr>
          <w:rFonts w:ascii="Palatino Linotype" w:hAnsi="Palatino Linotype"/>
          <w:b/>
          <w:sz w:val="20"/>
          <w:szCs w:val="20"/>
          <w:u w:val="single"/>
        </w:rPr>
        <w:t xml:space="preserve">A program keretében kötelezettséget vállalni a 2019. július 1. - 2019. augusztus 31. közötti időtartamban kezdődő és befejeződő foglalkoztatásra vonatkozóan lehet. </w:t>
      </w:r>
    </w:p>
    <w:p w:rsidR="009E67D8" w:rsidRPr="000B4816" w:rsidRDefault="009E67D8" w:rsidP="007A1D32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1C00B0">
        <w:rPr>
          <w:rFonts w:ascii="Palatino Linotype" w:hAnsi="Palatino Linotype"/>
          <w:sz w:val="20"/>
          <w:szCs w:val="20"/>
        </w:rPr>
        <w:t>A programot a Pénzügyminisztérium koordinálása mellett az állami foglalkoztatási szervként eljáró megyei (fővárosi) kormányhivatalok és az állami foglalkoztatási szervként eljáró járási (fővárosi kerületi) hivatalok valósítják meg.</w:t>
      </w:r>
      <w:r w:rsidR="007A1D32">
        <w:rPr>
          <w:rFonts w:ascii="Palatino Linotype" w:hAnsi="Palatino Linotype"/>
          <w:sz w:val="20"/>
          <w:szCs w:val="20"/>
        </w:rPr>
        <w:t xml:space="preserve"> </w:t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>A programmal kapcsolatos bővebb tájékoztatás a területileg illetékes állami foglalkoztatási szervként eljáró járási hivatalnál érhető el</w:t>
      </w:r>
      <w:r w:rsidR="007A1D32">
        <w:rPr>
          <w:rFonts w:ascii="Palatino Linotype" w:eastAsia="Calibri" w:hAnsi="Palatino Linotype"/>
          <w:sz w:val="20"/>
          <w:szCs w:val="20"/>
          <w:lang w:eastAsia="en-US"/>
        </w:rPr>
        <w:t xml:space="preserve"> (</w:t>
      </w:r>
      <w:r w:rsidR="007A1D32" w:rsidRPr="007A1D32">
        <w:rPr>
          <w:rFonts w:ascii="Palatino Linotype" w:eastAsia="Calibri" w:hAnsi="Palatino Linotype"/>
          <w:sz w:val="20"/>
          <w:szCs w:val="20"/>
          <w:lang w:eastAsia="en-US"/>
        </w:rPr>
        <w:t>Pest Megyei Kormányhivatal</w:t>
      </w:r>
      <w:r w:rsidR="007A1D32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="007A1D32" w:rsidRPr="007A1D32">
        <w:rPr>
          <w:rFonts w:ascii="Palatino Linotype" w:eastAsia="Calibri" w:hAnsi="Palatino Linotype"/>
          <w:sz w:val="20"/>
          <w:szCs w:val="20"/>
          <w:lang w:eastAsia="en-US"/>
        </w:rPr>
        <w:t>Szigetszentmiklósi Járási Hivatal Foglalkoztatási Osztály</w:t>
      </w:r>
      <w:r w:rsidR="007A1D32">
        <w:rPr>
          <w:rFonts w:ascii="Palatino Linotype" w:eastAsia="Calibri" w:hAnsi="Palatino Linotype"/>
          <w:sz w:val="20"/>
          <w:szCs w:val="20"/>
          <w:lang w:eastAsia="en-US"/>
        </w:rPr>
        <w:t xml:space="preserve">, </w:t>
      </w:r>
      <w:r w:rsidR="007A1D32" w:rsidRPr="007A1D32">
        <w:rPr>
          <w:rFonts w:ascii="Palatino Linotype" w:eastAsia="Calibri" w:hAnsi="Palatino Linotype"/>
          <w:sz w:val="20"/>
          <w:szCs w:val="20"/>
          <w:lang w:eastAsia="en-US"/>
        </w:rPr>
        <w:t>2310 Szigetszentmiklós, Apor Vilmos u. 1.</w:t>
      </w:r>
      <w:r w:rsidR="007A1D32">
        <w:rPr>
          <w:rFonts w:ascii="Palatino Linotype" w:eastAsia="Calibri" w:hAnsi="Palatino Linotype"/>
          <w:sz w:val="20"/>
          <w:szCs w:val="20"/>
          <w:lang w:eastAsia="en-US"/>
        </w:rPr>
        <w:t xml:space="preserve"> T</w:t>
      </w:r>
      <w:r w:rsidR="007A1D32" w:rsidRPr="007A1D32">
        <w:rPr>
          <w:rFonts w:ascii="Palatino Linotype" w:eastAsia="Calibri" w:hAnsi="Palatino Linotype"/>
          <w:sz w:val="20"/>
          <w:szCs w:val="20"/>
          <w:lang w:eastAsia="en-US"/>
        </w:rPr>
        <w:t>elefon: +36 24 887-513</w:t>
      </w:r>
      <w:r w:rsidR="007A1D32">
        <w:rPr>
          <w:rFonts w:ascii="Palatino Linotype" w:eastAsia="Calibri" w:hAnsi="Palatino Linotype"/>
          <w:sz w:val="20"/>
          <w:szCs w:val="20"/>
          <w:lang w:eastAsia="en-US"/>
        </w:rPr>
        <w:t>)</w:t>
      </w:r>
    </w:p>
    <w:p w:rsidR="00973618" w:rsidRDefault="007A1D32" w:rsidP="007A1D32">
      <w:pPr>
        <w:spacing w:after="200" w:line="276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</w:r>
    </w:p>
    <w:p w:rsidR="00F574FA" w:rsidRDefault="007A1D32" w:rsidP="00973618">
      <w:pPr>
        <w:spacing w:after="200" w:line="276" w:lineRule="auto"/>
        <w:ind w:left="4956" w:firstLine="708"/>
        <w:jc w:val="both"/>
      </w:pPr>
      <w:bookmarkStart w:id="0" w:name="_GoBack"/>
      <w:bookmarkEnd w:id="0"/>
      <w:r>
        <w:rPr>
          <w:rFonts w:ascii="Palatino Linotype" w:eastAsia="Calibri" w:hAnsi="Palatino Linotype"/>
          <w:sz w:val="20"/>
          <w:szCs w:val="20"/>
          <w:lang w:eastAsia="en-US"/>
        </w:rPr>
        <w:t>Tököl Város Önkormányzata</w:t>
      </w:r>
    </w:p>
    <w:sectPr w:rsidR="00F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AFE" w:rsidRDefault="00862AFE" w:rsidP="009E67D8">
      <w:r>
        <w:separator/>
      </w:r>
    </w:p>
  </w:endnote>
  <w:endnote w:type="continuationSeparator" w:id="0">
    <w:p w:rsidR="00862AFE" w:rsidRDefault="00862AFE" w:rsidP="009E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AFE" w:rsidRDefault="00862AFE" w:rsidP="009E67D8">
      <w:r>
        <w:separator/>
      </w:r>
    </w:p>
  </w:footnote>
  <w:footnote w:type="continuationSeparator" w:id="0">
    <w:p w:rsidR="00862AFE" w:rsidRDefault="00862AFE" w:rsidP="009E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EB1"/>
    <w:multiLevelType w:val="hybridMultilevel"/>
    <w:tmpl w:val="24A0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268"/>
    <w:multiLevelType w:val="multilevel"/>
    <w:tmpl w:val="ABE277B6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1A3A60"/>
    <w:multiLevelType w:val="hybridMultilevel"/>
    <w:tmpl w:val="F8ECF812"/>
    <w:lvl w:ilvl="0" w:tplc="1F4AC27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F5E"/>
    <w:multiLevelType w:val="multilevel"/>
    <w:tmpl w:val="223E1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7F220FAC"/>
    <w:multiLevelType w:val="hybridMultilevel"/>
    <w:tmpl w:val="ED4C3F1E"/>
    <w:lvl w:ilvl="0" w:tplc="E08C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D8"/>
    <w:rsid w:val="007A1D32"/>
    <w:rsid w:val="00862AFE"/>
    <w:rsid w:val="00973618"/>
    <w:rsid w:val="009E67D8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2055"/>
  <w15:docId w15:val="{ADE4CCD7-B049-4AD0-86B8-71D03EC3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9E67D8"/>
    <w:pPr>
      <w:spacing w:after="75"/>
      <w:jc w:val="right"/>
      <w:outlineLvl w:val="1"/>
    </w:pPr>
    <w:rPr>
      <w:rFonts w:ascii="Palatino Linotype" w:hAnsi="Palatino Linotype"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E67D8"/>
    <w:rPr>
      <w:rFonts w:ascii="Palatino Linotype" w:eastAsia="Times New Roman" w:hAnsi="Palatino Linotype" w:cs="Times New Roman"/>
      <w:iCs/>
      <w:sz w:val="20"/>
      <w:szCs w:val="20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9E67D8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9E67D8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9E67D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E67D8"/>
    <w:pPr>
      <w:ind w:left="708"/>
    </w:pPr>
  </w:style>
  <w:style w:type="paragraph" w:customStyle="1" w:styleId="asous-titre201p10">
    <w:name w:val="a_sous-titre_20_1_p10"/>
    <w:basedOn w:val="Norml"/>
    <w:rsid w:val="009E67D8"/>
    <w:pPr>
      <w:spacing w:before="100" w:beforeAutospacing="1" w:after="100" w:afterAutospacing="1"/>
    </w:pPr>
  </w:style>
  <w:style w:type="paragraph" w:customStyle="1" w:styleId="Cmsor20">
    <w:name w:val="Címsor2"/>
    <w:basedOn w:val="Cmsor1"/>
    <w:qFormat/>
    <w:rsid w:val="009E67D8"/>
    <w:pPr>
      <w:keepNext w:val="0"/>
      <w:keepLines w:val="0"/>
      <w:spacing w:before="0"/>
      <w:ind w:left="576" w:hanging="576"/>
    </w:pPr>
    <w:rPr>
      <w:rFonts w:ascii="Times New Roman" w:eastAsia="Times New Roman" w:hAnsi="Times New Roman" w:cs="Calibri"/>
      <w:bCs w:val="0"/>
      <w:color w:val="auto"/>
      <w:szCs w:val="22"/>
      <w:lang w:eastAsia="en-US" w:bidi="en-US"/>
    </w:rPr>
  </w:style>
  <w:style w:type="character" w:customStyle="1" w:styleId="Cmsor1Char">
    <w:name w:val="Címsor 1 Char"/>
    <w:basedOn w:val="Bekezdsalapbettpusa"/>
    <w:link w:val="Cmsor1"/>
    <w:uiPriority w:val="9"/>
    <w:rsid w:val="009E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Schahay Ágnes</dc:creator>
  <cp:lastModifiedBy>Pintér Enikő</cp:lastModifiedBy>
  <cp:revision>3</cp:revision>
  <dcterms:created xsi:type="dcterms:W3CDTF">2019-06-06T07:59:00Z</dcterms:created>
  <dcterms:modified xsi:type="dcterms:W3CDTF">2019-06-06T08:00:00Z</dcterms:modified>
</cp:coreProperties>
</file>